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10bis</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404683</w:t>
      </w:r>
      <w:bookmarkStart w:id="8" w:name="_GoBack"/>
      <w:bookmarkEnd w:id="8"/>
    </w:p>
    <w:p>
      <w:pPr>
        <w:tabs>
          <w:tab w:val="left" w:pos="3106"/>
          <w:tab w:val="center" w:pos="4536"/>
          <w:tab w:val="right" w:pos="9072"/>
        </w:tabs>
        <w:jc w:val="both"/>
        <w:rPr>
          <w:rFonts w:ascii="Arial" w:hAnsi="Arial" w:cs="Arial"/>
          <w:b/>
          <w:bCs/>
        </w:rPr>
      </w:pPr>
      <w:r>
        <w:rPr>
          <w:rFonts w:hint="eastAsia" w:ascii="Arial" w:hAnsi="Arial" w:cs="Arial"/>
          <w:b/>
          <w:bCs/>
          <w:lang w:val="en-US" w:eastAsia="zh-CN"/>
        </w:rPr>
        <w:t>ChangSha</w:t>
      </w:r>
      <w:r>
        <w:rPr>
          <w:rFonts w:hint="eastAsia" w:ascii="Arial" w:hAnsi="Arial" w:cs="Arial"/>
          <w:b/>
          <w:bCs/>
        </w:rPr>
        <w:t xml:space="preserve">, </w:t>
      </w:r>
      <w:r>
        <w:rPr>
          <w:rFonts w:hint="eastAsia" w:ascii="Arial" w:hAnsi="Arial" w:cs="Arial"/>
          <w:b/>
          <w:bCs/>
          <w:lang w:val="en-US" w:eastAsia="zh-CN"/>
        </w:rPr>
        <w:t>China</w:t>
      </w:r>
      <w:r>
        <w:rPr>
          <w:rFonts w:hint="eastAsia" w:ascii="Arial" w:hAnsi="Arial" w:cs="Arial"/>
          <w:b/>
          <w:bCs/>
        </w:rPr>
        <w:t xml:space="preserve">, </w:t>
      </w:r>
      <w:r>
        <w:rPr>
          <w:rFonts w:hint="eastAsia" w:ascii="Arial" w:hAnsi="Arial" w:cs="Arial"/>
          <w:b/>
          <w:bCs/>
          <w:lang w:val="en-US" w:eastAsia="zh-CN"/>
        </w:rPr>
        <w:t>15 - 19 Apr, 2024</w:t>
      </w:r>
    </w:p>
    <w:p>
      <w:pPr>
        <w:tabs>
          <w:tab w:val="left" w:pos="1765"/>
          <w:tab w:val="center" w:pos="4557"/>
        </w:tabs>
        <w:rPr>
          <w:b/>
          <w:sz w:val="22"/>
        </w:rPr>
      </w:pPr>
    </w:p>
    <w:p>
      <w:pPr>
        <w:tabs>
          <w:tab w:val="left" w:pos="1765"/>
          <w:tab w:val="center" w:pos="4557"/>
        </w:tabs>
        <w:rPr>
          <w:b/>
          <w:sz w:val="22"/>
        </w:rPr>
      </w:pPr>
      <w:r>
        <w:rPr>
          <w:b/>
          <w:sz w:val="22"/>
        </w:rPr>
        <w:t>Agenda Item:</w:t>
      </w:r>
      <w:r>
        <w:rPr>
          <w:b/>
          <w:sz w:val="22"/>
        </w:rPr>
        <w:tab/>
      </w:r>
      <w:r>
        <w:rPr>
          <w:rFonts w:hint="eastAsia"/>
          <w:sz w:val="22"/>
          <w:highlight w:val="none"/>
          <w:lang w:val="en-US" w:eastAsia="zh-CN"/>
        </w:rPr>
        <w:t>6.16</w:t>
      </w:r>
      <w:r>
        <w:rPr>
          <w:sz w:val="22"/>
          <w:highlight w:val="none"/>
        </w:rPr>
        <w:t>.</w:t>
      </w:r>
      <w:r>
        <w:rPr>
          <w:rFonts w:hint="eastAsia"/>
          <w:sz w:val="22"/>
          <w:highlight w:val="none"/>
        </w:rPr>
        <w:t>6.3</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(NR_NTN_enh-Core) Discussion on the maintenance issue</w:t>
      </w:r>
      <w:r>
        <w:rPr>
          <w:rFonts w:hint="eastAsia"/>
          <w:sz w:val="22"/>
          <w:lang w:val="en-US" w:eastAsia="zh-CN"/>
        </w:rPr>
        <w:t xml:space="preserve"> for NR NTN enhancement</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Based on the WF of last meeting [1], two left issues about </w:t>
      </w:r>
      <w:r>
        <w:rPr>
          <w:rFonts w:hint="default"/>
          <w:sz w:val="20"/>
          <w:szCs w:val="20"/>
          <w:lang w:val="en-US" w:eastAsia="zh-CN"/>
        </w:rPr>
        <w:t>‘</w:t>
      </w:r>
      <w:r>
        <w:rPr>
          <w:rFonts w:hint="eastAsia"/>
          <w:sz w:val="20"/>
          <w:szCs w:val="20"/>
          <w:lang w:val="en-US" w:eastAsia="zh-CN"/>
        </w:rPr>
        <w:t>soft satellite switch</w:t>
      </w:r>
      <w:r>
        <w:rPr>
          <w:rFonts w:hint="default"/>
          <w:sz w:val="20"/>
          <w:szCs w:val="20"/>
          <w:lang w:val="en-US" w:eastAsia="zh-CN"/>
        </w:rPr>
        <w:t>’</w:t>
      </w:r>
      <w:r>
        <w:rPr>
          <w:rFonts w:hint="eastAsia"/>
          <w:sz w:val="20"/>
          <w:szCs w:val="20"/>
          <w:lang w:val="en-US" w:eastAsia="zh-CN"/>
        </w:rPr>
        <w:t xml:space="preserve"> need to be further discussed in the maintenance phase.  In this contribution, we provide our views.</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Discussion</w:t>
      </w:r>
    </w:p>
    <w:p>
      <w:pPr>
        <w:outlineLvl w:val="2"/>
        <w:rPr>
          <w:rFonts w:hint="eastAsia"/>
          <w:b/>
          <w:i/>
          <w:iCs/>
          <w:sz w:val="20"/>
          <w:szCs w:val="20"/>
          <w:highlight w:val="none"/>
          <w:u w:val="single"/>
          <w:lang w:eastAsia="ko-KR"/>
        </w:rPr>
      </w:pPr>
      <w:r>
        <w:rPr>
          <w:rFonts w:hint="eastAsia"/>
          <w:b/>
          <w:i/>
          <w:iCs/>
          <w:sz w:val="20"/>
          <w:szCs w:val="20"/>
          <w:highlight w:val="none"/>
          <w:u w:val="single"/>
          <w:lang w:eastAsia="ko-KR"/>
        </w:rPr>
        <w:t>Issue 5-2-S1: (‘Soft’ Satellite switch) RAN2 LS on soft satellite switch</w:t>
      </w:r>
    </w:p>
    <w:p>
      <w:pPr>
        <w:spacing w:line="252" w:lineRule="auto"/>
        <w:rPr>
          <w:rFonts w:hint="eastAsia"/>
          <w:b/>
          <w:bCs/>
          <w:i/>
          <w:iCs/>
          <w:sz w:val="20"/>
          <w:szCs w:val="20"/>
          <w:lang w:eastAsia="ja-JP"/>
        </w:rPr>
      </w:pPr>
      <w:r>
        <w:rPr>
          <w:rFonts w:hint="eastAsia"/>
          <w:b/>
          <w:bCs/>
          <w:i/>
          <w:iCs/>
          <w:sz w:val="20"/>
          <w:szCs w:val="20"/>
          <w:lang w:eastAsia="ja-JP"/>
        </w:rPr>
        <w:t xml:space="preserve">Agreement: </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 xml:space="preserve">Further discuss on the solutions of alleviating the scheduling restriction problem can be further discussed in maintenance phase. </w:t>
      </w:r>
    </w:p>
    <w:p>
      <w:pPr>
        <w:spacing w:line="252" w:lineRule="auto"/>
        <w:rPr>
          <w:rFonts w:hint="eastAsia"/>
          <w:b/>
          <w:bCs/>
          <w:i/>
          <w:iCs/>
          <w:sz w:val="20"/>
          <w:szCs w:val="20"/>
          <w:lang w:val="en-US" w:eastAsia="zh-CN"/>
        </w:rPr>
      </w:pPr>
      <w:r>
        <w:rPr>
          <w:rFonts w:hint="eastAsia"/>
          <w:b/>
          <w:bCs/>
          <w:i/>
          <w:iCs/>
          <w:sz w:val="20"/>
          <w:szCs w:val="20"/>
          <w:lang w:val="en-US" w:eastAsia="zh-CN"/>
        </w:rPr>
        <w:t>Reply LS R4-2403493</w:t>
      </w:r>
    </w:p>
    <w:p>
      <w:pPr>
        <w:keepNext w:val="0"/>
        <w:keepLines w:val="0"/>
        <w:pageBreakBefore w:val="0"/>
        <w:widowControl/>
        <w:tabs>
          <w:tab w:val="left" w:pos="1134"/>
        </w:tabs>
        <w:kinsoku/>
        <w:wordWrap/>
        <w:overflowPunct/>
        <w:topLinePunct w:val="0"/>
        <w:autoSpaceDE/>
        <w:autoSpaceDN/>
        <w:bidi w:val="0"/>
        <w:adjustRightInd/>
        <w:snapToGrid/>
        <w:spacing w:line="240" w:lineRule="auto"/>
        <w:jc w:val="both"/>
        <w:textAlignment w:val="auto"/>
        <w:rPr>
          <w:rFonts w:hint="eastAsia"/>
          <w:b/>
          <w:bCs/>
          <w:i/>
          <w:iCs/>
          <w:sz w:val="20"/>
          <w:szCs w:val="20"/>
          <w:lang w:val="en-US" w:eastAsia="zh-CN"/>
        </w:rPr>
      </w:pPr>
      <w:r>
        <w:rPr>
          <w:rFonts w:hint="eastAsia"/>
          <w:sz w:val="20"/>
          <w:szCs w:val="20"/>
          <w:lang w:val="en-US" w:eastAsia="zh-CN"/>
        </w:rPr>
        <w:t>1. Overall Description:</w:t>
      </w:r>
    </w:p>
    <w:p>
      <w:pPr>
        <w:keepNext w:val="0"/>
        <w:keepLines w:val="0"/>
        <w:pageBreakBefore w:val="0"/>
        <w:widowControl/>
        <w:tabs>
          <w:tab w:val="left" w:pos="1134"/>
        </w:tabs>
        <w:kinsoku/>
        <w:wordWrap/>
        <w:overflowPunct/>
        <w:topLinePunct w:val="0"/>
        <w:autoSpaceDE/>
        <w:autoSpaceDN/>
        <w:bidi w:val="0"/>
        <w:adjustRightInd/>
        <w:snapToGrid/>
        <w:spacing w:line="240" w:lineRule="auto"/>
        <w:jc w:val="both"/>
        <w:textAlignment w:val="auto"/>
        <w:rPr>
          <w:rFonts w:hint="eastAsia"/>
          <w:i/>
          <w:iCs/>
          <w:sz w:val="20"/>
          <w:szCs w:val="20"/>
          <w:lang w:val="en-US" w:eastAsia="zh-CN"/>
        </w:rPr>
      </w:pPr>
      <w:r>
        <w:rPr>
          <w:rFonts w:hint="eastAsia"/>
          <w:i/>
          <w:iCs/>
          <w:sz w:val="20"/>
          <w:szCs w:val="20"/>
          <w:lang w:val="en-US" w:eastAsia="zh-CN"/>
        </w:rPr>
        <w:t>RAN4 would like to thank RAN2 for the LS on RAN2 agreements for satellite switch with resync. RAN4 #110 had discussion on the feasibility of UE to perform the downlink synchronization with the target satellite and keep the communication with the source satellite of the same serving cell simultaneously in soft satellite switch. Following conclusion have been achieved:</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val="en-US" w:eastAsia="zh-CN"/>
        </w:rPr>
      </w:pPr>
      <w:r>
        <w:rPr>
          <w:rFonts w:hint="eastAsia"/>
          <w:i/>
          <w:iCs/>
          <w:sz w:val="20"/>
          <w:szCs w:val="20"/>
          <w:lang w:val="en-US" w:eastAsia="zh-CN"/>
        </w:rPr>
        <w:t>It is feasible that a soft satellite switch capable UE can perform downlink synchronization with the target NGSO satellite and keep the connection (DL and UL) with the source NGSO satellite simultaneously under the following conditions.</w:t>
      </w:r>
    </w:p>
    <w:p>
      <w:pPr>
        <w:pStyle w:val="75"/>
        <w:keepNext w:val="0"/>
        <w:keepLines w:val="0"/>
        <w:pageBreakBefore w:val="0"/>
        <w:widowControl/>
        <w:numPr>
          <w:ilvl w:val="1"/>
          <w:numId w:val="6"/>
        </w:numPr>
        <w:kinsoku/>
        <w:wordWrap/>
        <w:overflowPunct/>
        <w:topLinePunct w:val="0"/>
        <w:autoSpaceDE/>
        <w:autoSpaceDN/>
        <w:bidi w:val="0"/>
        <w:adjustRightInd/>
        <w:snapToGrid/>
        <w:ind w:left="880" w:leftChars="200" w:hanging="400" w:hangingChars="200"/>
        <w:textAlignment w:val="auto"/>
        <w:rPr>
          <w:rFonts w:hint="eastAsia"/>
          <w:i/>
          <w:iCs/>
          <w:sz w:val="20"/>
          <w:szCs w:val="20"/>
          <w:lang w:val="en-US" w:eastAsia="zh-CN"/>
        </w:rPr>
      </w:pPr>
      <w:r>
        <w:rPr>
          <w:rFonts w:hint="eastAsia"/>
          <w:i/>
          <w:iCs/>
          <w:sz w:val="20"/>
          <w:szCs w:val="20"/>
          <w:lang w:val="en-US" w:eastAsia="zh-CN"/>
        </w:rPr>
        <w:t>Only if SSBs from the two satellites are spaced apart from each other at least by 1 OFDM symbol in the time domain at UE Rx side.</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val="en-US" w:eastAsia="zh-CN"/>
        </w:rPr>
      </w:pPr>
      <w:r>
        <w:rPr>
          <w:rFonts w:hint="eastAsia"/>
          <w:i/>
          <w:iCs/>
          <w:sz w:val="20"/>
          <w:szCs w:val="20"/>
          <w:lang w:val="en-US" w:eastAsia="zh-CN"/>
        </w:rPr>
        <w:t>If the UE starts synchronization to a different satellite from T-ServiceStart, scheduling restriction is expected, if:</w:t>
      </w:r>
    </w:p>
    <w:p>
      <w:pPr>
        <w:pStyle w:val="75"/>
        <w:keepNext w:val="0"/>
        <w:keepLines w:val="0"/>
        <w:pageBreakBefore w:val="0"/>
        <w:widowControl/>
        <w:numPr>
          <w:ilvl w:val="1"/>
          <w:numId w:val="6"/>
        </w:numPr>
        <w:kinsoku/>
        <w:wordWrap/>
        <w:overflowPunct/>
        <w:topLinePunct w:val="0"/>
        <w:autoSpaceDE/>
        <w:autoSpaceDN/>
        <w:bidi w:val="0"/>
        <w:adjustRightInd/>
        <w:snapToGrid/>
        <w:ind w:left="880" w:leftChars="200" w:hanging="400" w:hangingChars="200"/>
        <w:textAlignment w:val="auto"/>
        <w:rPr>
          <w:rFonts w:hint="eastAsia"/>
          <w:i/>
          <w:iCs/>
          <w:sz w:val="20"/>
          <w:szCs w:val="20"/>
          <w:lang w:val="en-US" w:eastAsia="zh-CN"/>
        </w:rPr>
      </w:pPr>
      <w:r>
        <w:rPr>
          <w:rFonts w:hint="eastAsia"/>
          <w:i/>
          <w:iCs/>
          <w:sz w:val="20"/>
          <w:szCs w:val="20"/>
          <w:lang w:val="en-US" w:eastAsia="zh-CN"/>
        </w:rPr>
        <w:t>the UE is not capable of parallelMeasurementWithoutRestriction-r17, or</w:t>
      </w:r>
    </w:p>
    <w:p>
      <w:pPr>
        <w:pStyle w:val="75"/>
        <w:keepNext w:val="0"/>
        <w:keepLines w:val="0"/>
        <w:pageBreakBefore w:val="0"/>
        <w:widowControl/>
        <w:numPr>
          <w:ilvl w:val="1"/>
          <w:numId w:val="6"/>
        </w:numPr>
        <w:kinsoku/>
        <w:wordWrap/>
        <w:overflowPunct/>
        <w:topLinePunct w:val="0"/>
        <w:autoSpaceDE/>
        <w:autoSpaceDN/>
        <w:bidi w:val="0"/>
        <w:adjustRightInd/>
        <w:snapToGrid/>
        <w:ind w:left="880" w:leftChars="200" w:hanging="400" w:hangingChars="200"/>
        <w:textAlignment w:val="auto"/>
        <w:rPr>
          <w:rFonts w:hint="eastAsia"/>
          <w:i/>
          <w:iCs/>
          <w:sz w:val="20"/>
          <w:szCs w:val="20"/>
          <w:lang w:val="en-US" w:eastAsia="zh-CN"/>
        </w:rPr>
      </w:pPr>
      <w:r>
        <w:rPr>
          <w:rFonts w:hint="eastAsia"/>
          <w:i/>
          <w:iCs/>
          <w:sz w:val="20"/>
          <w:szCs w:val="20"/>
          <w:lang w:val="en-US" w:eastAsia="zh-CN"/>
        </w:rPr>
        <w:t>the UE is not capable of simultaneousRxDataSSB-DiffNumerology but the SSB has a different SCS than PDCCH/PDSCH</w:t>
      </w:r>
    </w:p>
    <w:p>
      <w:pPr>
        <w:pStyle w:val="75"/>
        <w:keepNext w:val="0"/>
        <w:keepLines w:val="0"/>
        <w:pageBreakBefore w:val="0"/>
        <w:widowControl/>
        <w:numPr>
          <w:ilvl w:val="1"/>
          <w:numId w:val="6"/>
        </w:numPr>
        <w:kinsoku/>
        <w:wordWrap/>
        <w:overflowPunct/>
        <w:topLinePunct w:val="0"/>
        <w:autoSpaceDE/>
        <w:autoSpaceDN/>
        <w:bidi w:val="0"/>
        <w:adjustRightInd/>
        <w:snapToGrid/>
        <w:ind w:left="880" w:leftChars="200" w:hanging="400" w:hangingChars="200"/>
        <w:textAlignment w:val="auto"/>
        <w:rPr>
          <w:rFonts w:hint="eastAsia"/>
          <w:i/>
          <w:iCs/>
          <w:sz w:val="20"/>
          <w:szCs w:val="20"/>
          <w:highlight w:val="yellow"/>
          <w:lang w:val="en-US" w:eastAsia="zh-CN"/>
        </w:rPr>
      </w:pPr>
      <w:r>
        <w:rPr>
          <w:rFonts w:hint="eastAsia"/>
          <w:i/>
          <w:iCs/>
          <w:sz w:val="20"/>
          <w:szCs w:val="20"/>
          <w:highlight w:val="yellow"/>
          <w:lang w:val="en-US" w:eastAsia="zh-CN"/>
        </w:rPr>
        <w:t>Note: RAN4 is investigating how to minimize the duration of the scheduling restriction.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In last meeting, RAN4 achieved common understanding that scheduling restriction shall be introduced for UE who not capable of </w:t>
      </w:r>
      <w:r>
        <w:rPr>
          <w:rFonts w:hint="default"/>
          <w:sz w:val="20"/>
          <w:szCs w:val="20"/>
          <w:lang w:val="en-US" w:eastAsia="zh-CN"/>
        </w:rPr>
        <w:t>‘parallelMeasurementWithoutRestriction-r17’</w:t>
      </w:r>
      <w:r>
        <w:rPr>
          <w:rFonts w:hint="eastAsia"/>
          <w:sz w:val="20"/>
          <w:szCs w:val="20"/>
          <w:lang w:val="en-US" w:eastAsia="zh-CN"/>
        </w:rPr>
        <w:t>, while the length of scheduling restriction should be further studied, especially how to minimize the duration of the scheduling restriction.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Without any assistance information from UE, the duration of the scheduling restriction depends on the maximum propagation delay difference between source cell and target cell, which further depends on the practical network scenario. The worst case is that the source cell could not schedule any data transmission during the whole period between T-start and T-service.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 xml:space="preserve">With the assistance information </w:t>
      </w:r>
      <w:r>
        <w:rPr>
          <w:rFonts w:hint="default"/>
          <w:sz w:val="20"/>
          <w:szCs w:val="20"/>
          <w:lang w:val="en-US" w:eastAsia="zh-CN"/>
        </w:rPr>
        <w:t>‘</w:t>
      </w:r>
      <w:r>
        <w:rPr>
          <w:rFonts w:hint="eastAsia"/>
          <w:sz w:val="20"/>
          <w:szCs w:val="20"/>
          <w:lang w:val="en-US" w:eastAsia="zh-CN"/>
        </w:rPr>
        <w:t>propagation delay difference</w:t>
      </w:r>
      <w:r>
        <w:rPr>
          <w:rFonts w:hint="default"/>
          <w:sz w:val="20"/>
          <w:szCs w:val="20"/>
          <w:lang w:val="en-US" w:eastAsia="zh-CN"/>
        </w:rPr>
        <w:t>’</w:t>
      </w:r>
      <w:r>
        <w:rPr>
          <w:rFonts w:hint="eastAsia"/>
          <w:sz w:val="20"/>
          <w:szCs w:val="20"/>
          <w:lang w:val="en-US" w:eastAsia="zh-CN"/>
        </w:rPr>
        <w:t>, network could perform the scheduling restriction precisely. i.e. The UE is not expected to transmit PUCCH/PUSCH/SRS to source cell and not expected to receive PDCCH/PDSCH/TRS/SSB/CSI-RS/ for CQI from source cell on target cell SSB symbols to be measured, and on 1 data symbol before each consecutive SSB symbols to be measured and 1 data symbol after each consecutive SSB symbols to be measured within SMTC window duration. Network could acquire the propagation delay difference by following disordered procedures:</w:t>
      </w:r>
    </w:p>
    <w:p>
      <w:pPr>
        <w:pStyle w:val="75"/>
        <w:keepNext w:val="0"/>
        <w:keepLines w:val="0"/>
        <w:pageBreakBefore w:val="0"/>
        <w:widowControl/>
        <w:numPr>
          <w:ilvl w:val="0"/>
          <w:numId w:val="6"/>
        </w:numPr>
        <w:kinsoku/>
        <w:wordWrap/>
        <w:overflowPunct/>
        <w:topLinePunct w:val="0"/>
        <w:autoSpaceDE/>
        <w:autoSpaceDN/>
        <w:bidi w:val="0"/>
        <w:adjustRightInd/>
        <w:snapToGrid/>
        <w:spacing w:before="157" w:beforeLines="50"/>
        <w:ind w:left="0" w:hanging="400" w:hangingChars="200"/>
        <w:textAlignment w:val="auto"/>
        <w:rPr>
          <w:rFonts w:hint="eastAsia"/>
          <w:i w:val="0"/>
          <w:iCs w:val="0"/>
          <w:sz w:val="20"/>
          <w:szCs w:val="20"/>
          <w:lang w:val="en-US" w:eastAsia="zh-CN"/>
        </w:rPr>
      </w:pPr>
      <w:r>
        <w:rPr>
          <w:rFonts w:hint="eastAsia"/>
          <w:i w:val="0"/>
          <w:iCs w:val="0"/>
          <w:sz w:val="20"/>
          <w:szCs w:val="20"/>
          <w:lang w:val="en-US" w:eastAsia="zh-CN"/>
        </w:rPr>
        <w:t>Derive the propagation delay difference of the feeder link by gNB location and valid ephemerisInfo of both source and target cell.</w:t>
      </w:r>
    </w:p>
    <w:p>
      <w:pPr>
        <w:pStyle w:val="75"/>
        <w:keepNext w:val="0"/>
        <w:keepLines w:val="0"/>
        <w:pageBreakBefore w:val="0"/>
        <w:widowControl/>
        <w:numPr>
          <w:ilvl w:val="0"/>
          <w:numId w:val="6"/>
        </w:numPr>
        <w:kinsoku/>
        <w:wordWrap/>
        <w:overflowPunct/>
        <w:topLinePunct w:val="0"/>
        <w:autoSpaceDE/>
        <w:autoSpaceDN/>
        <w:bidi w:val="0"/>
        <w:adjustRightInd/>
        <w:snapToGrid/>
        <w:spacing w:before="157" w:beforeLines="50"/>
        <w:ind w:left="0" w:hanging="400" w:hangingChars="200"/>
        <w:textAlignment w:val="auto"/>
        <w:rPr>
          <w:rFonts w:hint="eastAsia"/>
          <w:i w:val="0"/>
          <w:iCs w:val="0"/>
          <w:sz w:val="20"/>
          <w:szCs w:val="20"/>
          <w:lang w:val="en-US" w:eastAsia="zh-CN"/>
        </w:rPr>
      </w:pPr>
      <w:r>
        <w:rPr>
          <w:rFonts w:hint="eastAsia"/>
          <w:i w:val="0"/>
          <w:iCs w:val="0"/>
          <w:sz w:val="20"/>
          <w:szCs w:val="20"/>
          <w:lang w:val="en-US" w:eastAsia="zh-CN"/>
        </w:rPr>
        <w:t>Acquire the propagation delay difference of the service link by UE reporting, which has been supported by the existing spec. As long as network config the ephemerisInfo and epochTime of target cell in IE NeighbourCellInfo-r17, UE could report the propagation delay difference of the service link between the service cell and target cell: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drawing>
          <wp:inline distT="0" distB="0" distL="114300" distR="114300">
            <wp:extent cx="5782945" cy="37211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82945" cy="372110"/>
                    </a:xfrm>
                    <a:prstGeom prst="rect">
                      <a:avLst/>
                    </a:prstGeom>
                    <a:noFill/>
                    <a:ln>
                      <a:noFill/>
                    </a:ln>
                  </pic:spPr>
                </pic:pic>
              </a:graphicData>
            </a:graphic>
          </wp:inline>
        </w:drawing>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eastAsiaTheme="minorEastAsia"/>
          <w:lang w:eastAsia="zh-CN"/>
        </w:rPr>
        <w:drawing>
          <wp:inline distT="0" distB="0" distL="114300" distR="114300">
            <wp:extent cx="5782310" cy="923290"/>
            <wp:effectExtent l="0" t="0" r="8890" b="3810"/>
            <wp:docPr id="4" name="图片 4" descr="1710300669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10300669507"/>
                    <pic:cNvPicPr>
                      <a:picLocks noChangeAspect="1"/>
                    </pic:cNvPicPr>
                  </pic:nvPicPr>
                  <pic:blipFill>
                    <a:blip r:embed="rId5"/>
                    <a:stretch>
                      <a:fillRect/>
                    </a:stretch>
                  </pic:blipFill>
                  <pic:spPr>
                    <a:xfrm>
                      <a:off x="0" y="0"/>
                      <a:ext cx="5782310" cy="923290"/>
                    </a:xfrm>
                    <a:prstGeom prst="rect">
                      <a:avLst/>
                    </a:prstGeom>
                  </pic:spPr>
                </pic:pic>
              </a:graphicData>
            </a:graphic>
          </wp:inline>
        </w:drawing>
      </w:r>
    </w:p>
    <w:p>
      <w:pPr>
        <w:pStyle w:val="75"/>
        <w:keepNext w:val="0"/>
        <w:keepLines w:val="0"/>
        <w:pageBreakBefore w:val="0"/>
        <w:widowControl/>
        <w:numPr>
          <w:ilvl w:val="0"/>
          <w:numId w:val="6"/>
        </w:numPr>
        <w:kinsoku/>
        <w:wordWrap/>
        <w:overflowPunct/>
        <w:topLinePunct w:val="0"/>
        <w:autoSpaceDE/>
        <w:autoSpaceDN/>
        <w:bidi w:val="0"/>
        <w:adjustRightInd/>
        <w:snapToGrid/>
        <w:spacing w:before="157" w:beforeLines="50"/>
        <w:ind w:left="0" w:hanging="400" w:hangingChars="200"/>
        <w:textAlignment w:val="auto"/>
        <w:rPr>
          <w:rFonts w:hint="default"/>
          <w:i w:val="0"/>
          <w:iCs w:val="0"/>
          <w:sz w:val="20"/>
          <w:szCs w:val="20"/>
          <w:lang w:val="en-US" w:eastAsia="zh-CN"/>
        </w:rPr>
      </w:pPr>
      <w:r>
        <w:rPr>
          <w:rFonts w:hint="eastAsia"/>
          <w:i w:val="0"/>
          <w:iCs w:val="0"/>
          <w:sz w:val="20"/>
          <w:szCs w:val="20"/>
          <w:lang w:val="en-US" w:eastAsia="zh-CN"/>
        </w:rPr>
        <w:t>Calculate the whole link propagation delay difference = PDD</w:t>
      </w:r>
      <w:r>
        <w:rPr>
          <w:rFonts w:hint="eastAsia"/>
          <w:i w:val="0"/>
          <w:iCs w:val="0"/>
          <w:sz w:val="20"/>
          <w:szCs w:val="20"/>
          <w:vertAlign w:val="subscript"/>
          <w:lang w:val="en-US" w:eastAsia="zh-CN"/>
        </w:rPr>
        <w:t>source</w:t>
      </w:r>
      <w:r>
        <w:rPr>
          <w:rFonts w:hint="eastAsia"/>
          <w:i w:val="0"/>
          <w:iCs w:val="0"/>
          <w:sz w:val="20"/>
          <w:szCs w:val="20"/>
          <w:lang w:val="en-US" w:eastAsia="zh-CN"/>
        </w:rPr>
        <w:t xml:space="preserve"> + PDD</w:t>
      </w:r>
      <w:r>
        <w:rPr>
          <w:rFonts w:hint="eastAsia"/>
          <w:i w:val="0"/>
          <w:iCs w:val="0"/>
          <w:sz w:val="20"/>
          <w:szCs w:val="20"/>
          <w:vertAlign w:val="subscript"/>
          <w:lang w:val="en-US" w:eastAsia="zh-CN"/>
        </w:rPr>
        <w:t>target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For the UE not supporting </w:t>
      </w:r>
      <w:r>
        <w:rPr>
          <w:rFonts w:hint="default"/>
          <w:b/>
          <w:bCs/>
          <w:i/>
          <w:iCs/>
          <w:sz w:val="20"/>
          <w:szCs w:val="20"/>
          <w:lang w:val="en-US" w:eastAsia="zh-CN"/>
        </w:rPr>
        <w:t>‘‘serviceLinkPropDelayDiffReporting-r17’</w:t>
      </w:r>
      <w:r>
        <w:rPr>
          <w:rFonts w:hint="eastAsia"/>
          <w:b/>
          <w:bCs/>
          <w:i/>
          <w:iCs/>
          <w:sz w:val="20"/>
          <w:szCs w:val="20"/>
          <w:lang w:val="en-US" w:eastAsia="zh-CN"/>
        </w:rPr>
        <w:t>, the duration of scheduling restriction depends on the maximum propagation delay difference between source cell and target cell, which further depends on the practical network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Observation 2: For the UE supporting </w:t>
      </w:r>
      <w:r>
        <w:rPr>
          <w:rFonts w:hint="default"/>
          <w:b/>
          <w:bCs/>
          <w:i/>
          <w:iCs/>
          <w:sz w:val="20"/>
          <w:szCs w:val="20"/>
          <w:lang w:val="en-US" w:eastAsia="zh-CN"/>
        </w:rPr>
        <w:t>‘serviceLinkPropDelayDiffReporting-r17’</w:t>
      </w:r>
      <w:r>
        <w:rPr>
          <w:rFonts w:hint="eastAsia"/>
          <w:b/>
          <w:bCs/>
          <w:i/>
          <w:iCs/>
          <w:sz w:val="20"/>
          <w:szCs w:val="20"/>
          <w:lang w:val="en-US" w:eastAsia="zh-CN"/>
        </w:rPr>
        <w:t>, the duration of scheduling restriction can be minimized to target cell SSB symbols to be measured, and on 1 data symbol before each consecutive SSB symbols to be measured and 1 data symbol after each consecutive SSB symbols to be measured within SMTC window duration.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Observation 3: The </w:t>
      </w:r>
      <w:r>
        <w:rPr>
          <w:rFonts w:hint="default"/>
          <w:b/>
          <w:bCs/>
          <w:i/>
          <w:iCs/>
          <w:sz w:val="20"/>
          <w:szCs w:val="20"/>
          <w:lang w:val="en-US" w:eastAsia="zh-CN"/>
        </w:rPr>
        <w:t>service</w:t>
      </w:r>
      <w:r>
        <w:rPr>
          <w:rFonts w:hint="eastAsia"/>
          <w:b/>
          <w:bCs/>
          <w:i/>
          <w:iCs/>
          <w:sz w:val="20"/>
          <w:szCs w:val="20"/>
          <w:lang w:val="en-US" w:eastAsia="zh-CN"/>
        </w:rPr>
        <w:t xml:space="preserve"> l</w:t>
      </w:r>
      <w:r>
        <w:rPr>
          <w:rFonts w:hint="default"/>
          <w:b/>
          <w:bCs/>
          <w:i/>
          <w:iCs/>
          <w:sz w:val="20"/>
          <w:szCs w:val="20"/>
          <w:lang w:val="en-US" w:eastAsia="zh-CN"/>
        </w:rPr>
        <w:t>ink</w:t>
      </w:r>
      <w:r>
        <w:rPr>
          <w:rFonts w:hint="eastAsia"/>
          <w:b/>
          <w:bCs/>
          <w:i/>
          <w:iCs/>
          <w:sz w:val="20"/>
          <w:szCs w:val="20"/>
          <w:lang w:val="en-US" w:eastAsia="zh-CN"/>
        </w:rPr>
        <w:t xml:space="preserve"> </w:t>
      </w:r>
      <w:r>
        <w:rPr>
          <w:rFonts w:hint="default"/>
          <w:b/>
          <w:bCs/>
          <w:i/>
          <w:iCs/>
          <w:sz w:val="20"/>
          <w:szCs w:val="20"/>
          <w:lang w:val="en-US" w:eastAsia="zh-CN"/>
        </w:rPr>
        <w:t>Prop</w:t>
      </w:r>
      <w:r>
        <w:rPr>
          <w:rFonts w:hint="eastAsia"/>
          <w:b/>
          <w:bCs/>
          <w:i/>
          <w:iCs/>
          <w:sz w:val="20"/>
          <w:szCs w:val="20"/>
          <w:lang w:val="en-US" w:eastAsia="zh-CN"/>
        </w:rPr>
        <w:t xml:space="preserve">agation </w:t>
      </w:r>
      <w:r>
        <w:rPr>
          <w:rFonts w:hint="default"/>
          <w:b/>
          <w:bCs/>
          <w:i/>
          <w:iCs/>
          <w:sz w:val="20"/>
          <w:szCs w:val="20"/>
          <w:lang w:val="en-US" w:eastAsia="zh-CN"/>
        </w:rPr>
        <w:t>Delay</w:t>
      </w:r>
      <w:r>
        <w:rPr>
          <w:rFonts w:hint="eastAsia"/>
          <w:b/>
          <w:bCs/>
          <w:i/>
          <w:iCs/>
          <w:sz w:val="20"/>
          <w:szCs w:val="20"/>
          <w:lang w:val="en-US" w:eastAsia="zh-CN"/>
        </w:rPr>
        <w:t xml:space="preserve"> </w:t>
      </w:r>
      <w:r>
        <w:rPr>
          <w:rFonts w:hint="default"/>
          <w:b/>
          <w:bCs/>
          <w:i/>
          <w:iCs/>
          <w:sz w:val="20"/>
          <w:szCs w:val="20"/>
          <w:lang w:val="en-US" w:eastAsia="zh-CN"/>
        </w:rPr>
        <w:t>Diff</w:t>
      </w:r>
      <w:r>
        <w:rPr>
          <w:rFonts w:hint="eastAsia"/>
          <w:b/>
          <w:bCs/>
          <w:i/>
          <w:iCs/>
          <w:sz w:val="20"/>
          <w:szCs w:val="20"/>
          <w:lang w:val="en-US" w:eastAsia="zh-CN"/>
        </w:rPr>
        <w:t xml:space="preserve">erence </w:t>
      </w:r>
      <w:r>
        <w:rPr>
          <w:rFonts w:hint="default"/>
          <w:b/>
          <w:bCs/>
          <w:i/>
          <w:iCs/>
          <w:sz w:val="20"/>
          <w:szCs w:val="20"/>
          <w:lang w:val="en-US" w:eastAsia="zh-CN"/>
        </w:rPr>
        <w:t>Reporting</w:t>
      </w:r>
      <w:r>
        <w:rPr>
          <w:rFonts w:hint="eastAsia"/>
          <w:b/>
          <w:bCs/>
          <w:i/>
          <w:iCs/>
          <w:sz w:val="20"/>
          <w:szCs w:val="20"/>
          <w:lang w:val="en-US" w:eastAsia="zh-CN"/>
        </w:rPr>
        <w:t xml:space="preserve"> procedure has been introduced in R17, which can be reused in PCI unchanged scenario as well.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The solutions of alleviating the scheduling restriction has been supported by existing spec.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p>
    <w:p>
      <w:pPr>
        <w:outlineLvl w:val="2"/>
        <w:rPr>
          <w:rFonts w:hint="eastAsia"/>
          <w:b/>
          <w:bCs/>
          <w:i/>
          <w:iCs/>
          <w:sz w:val="20"/>
          <w:szCs w:val="20"/>
          <w:lang w:eastAsia="ja-JP"/>
        </w:rPr>
      </w:pPr>
      <w:r>
        <w:rPr>
          <w:rFonts w:hint="eastAsia"/>
          <w:b/>
          <w:i/>
          <w:iCs/>
          <w:sz w:val="20"/>
          <w:szCs w:val="20"/>
          <w:highlight w:val="none"/>
          <w:u w:val="single"/>
          <w:lang w:eastAsia="ko-KR"/>
        </w:rPr>
        <w:t>Issue 5-2-S2: (‘Soft’ Satellite switch) Interruption time</w:t>
      </w:r>
    </w:p>
    <w:p>
      <w:pPr>
        <w:spacing w:line="252" w:lineRule="auto"/>
        <w:rPr>
          <w:rFonts w:hint="eastAsia"/>
          <w:b/>
          <w:bCs/>
          <w:i/>
          <w:iCs/>
          <w:sz w:val="20"/>
          <w:szCs w:val="20"/>
          <w:lang w:eastAsia="ja-JP"/>
        </w:rPr>
      </w:pPr>
      <w:r>
        <w:rPr>
          <w:rFonts w:hint="eastAsia"/>
          <w:b/>
          <w:bCs/>
          <w:i/>
          <w:iCs/>
          <w:sz w:val="20"/>
          <w:szCs w:val="20"/>
          <w:lang w:eastAsia="ja-JP"/>
        </w:rPr>
        <w:t xml:space="preserve">Agreement: </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Satellite switch delay (Tsoft-switch), from t-serviceStart to the time instance for the first UL transmission to the target satellite, is defined as below:</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ja-JP"/>
        </w:rPr>
      </w:pPr>
      <w:r>
        <w:rPr>
          <w:rFonts w:hint="eastAsia"/>
          <w:i/>
          <w:iCs/>
          <w:sz w:val="20"/>
          <w:szCs w:val="20"/>
          <w:lang w:val="zh-CN" w:eastAsia="ja-JP"/>
        </w:rPr>
        <w:t>Tsoft-switch = max(t-Service - t-serviceStart, Tsearch + T∆ + Tmargin) + Tprocessing + TIU</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‘The time instance for the first UL transmission to the target satellite’ is no earlier than t-Service.</w:t>
      </w:r>
    </w:p>
    <w:p>
      <w:pPr>
        <w:keepNext w:val="0"/>
        <w:keepLines w:val="0"/>
        <w:pageBreakBefore w:val="0"/>
        <w:widowControl/>
        <w:kinsoku/>
        <w:wordWrap/>
        <w:overflowPunct/>
        <w:topLinePunct w:val="0"/>
        <w:autoSpaceDE/>
        <w:autoSpaceDN/>
        <w:bidi w:val="0"/>
        <w:adjustRightInd/>
        <w:snapToGrid/>
        <w:spacing w:line="252" w:lineRule="auto"/>
        <w:textAlignment w:val="auto"/>
        <w:rPr>
          <w:rFonts w:hint="eastAsia"/>
          <w:b/>
          <w:bCs/>
          <w:i/>
          <w:iCs/>
          <w:sz w:val="20"/>
          <w:szCs w:val="20"/>
          <w:lang w:eastAsia="ja-JP"/>
        </w:rPr>
      </w:pPr>
      <w:r>
        <w:rPr>
          <w:rFonts w:hint="eastAsia"/>
          <w:b/>
          <w:bCs/>
          <w:i/>
          <w:iCs/>
          <w:sz w:val="20"/>
          <w:szCs w:val="20"/>
          <w:lang w:eastAsia="zh-CN"/>
        </w:rPr>
        <w:t>O</w:t>
      </w:r>
      <w:r>
        <w:rPr>
          <w:rFonts w:hint="eastAsia"/>
          <w:b/>
          <w:bCs/>
          <w:i/>
          <w:iCs/>
          <w:sz w:val="20"/>
          <w:szCs w:val="20"/>
          <w:lang w:eastAsia="ja-JP"/>
        </w:rPr>
        <w:t>nline Agreement:</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Tsearch</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ja-JP"/>
        </w:rPr>
      </w:pPr>
      <w:r>
        <w:rPr>
          <w:rFonts w:hint="eastAsia"/>
          <w:i/>
          <w:iCs/>
          <w:sz w:val="20"/>
          <w:szCs w:val="20"/>
          <w:lang w:val="zh-CN" w:eastAsia="ja-JP"/>
        </w:rPr>
        <w:t xml:space="preserve">Tfirst_SSB [ms], where Tfirst_SSB is the time to the end of the first complete SSB burst indicated by </w:t>
      </w:r>
    </w:p>
    <w:p>
      <w:pPr>
        <w:pStyle w:val="75"/>
        <w:keepNext w:val="0"/>
        <w:keepLines w:val="0"/>
        <w:pageBreakBefore w:val="0"/>
        <w:widowControl/>
        <w:numPr>
          <w:ilvl w:val="2"/>
          <w:numId w:val="6"/>
        </w:numPr>
        <w:tabs>
          <w:tab w:val="left" w:pos="1596"/>
          <w:tab w:val="left" w:pos="1680"/>
          <w:tab w:val="left" w:pos="1722"/>
        </w:tabs>
        <w:kinsoku/>
        <w:wordWrap/>
        <w:overflowPunct/>
        <w:topLinePunct w:val="0"/>
        <w:autoSpaceDE/>
        <w:autoSpaceDN/>
        <w:bidi w:val="0"/>
        <w:adjustRightInd/>
        <w:snapToGrid/>
        <w:ind w:left="1485" w:leftChars="0" w:hanging="363" w:firstLineChars="0"/>
        <w:textAlignment w:val="auto"/>
        <w:rPr>
          <w:rFonts w:hint="eastAsia"/>
          <w:i/>
          <w:iCs/>
          <w:sz w:val="20"/>
          <w:szCs w:val="20"/>
          <w:lang w:val="en-US" w:eastAsia="ja-JP"/>
        </w:rPr>
      </w:pPr>
      <w:r>
        <w:rPr>
          <w:rFonts w:hint="eastAsia"/>
          <w:i/>
          <w:iCs/>
          <w:sz w:val="20"/>
          <w:szCs w:val="20"/>
          <w:lang w:val="en-US" w:eastAsia="ja-JP"/>
        </w:rPr>
        <w:t xml:space="preserve">SMTC of serving cell + ssb-TimeOffset + PDD propagation difference </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TIU (ending point of interruption is at TIU)</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ja-JP"/>
        </w:rPr>
      </w:pPr>
      <w:r>
        <w:rPr>
          <w:rFonts w:hint="eastAsia"/>
          <w:i/>
          <w:iCs/>
          <w:sz w:val="20"/>
          <w:szCs w:val="20"/>
          <w:lang w:val="zh-CN" w:eastAsia="ja-JP"/>
        </w:rPr>
        <w:t>The interruption uncertainty in acquiring the first UL transmission resource, which can be a configured grant based PUSCH, dynamic grant based PUSCH, SR on PUCCH, according to NW configuration and scheduling, or PRACH if TA timer is not running and there is no PUCCH SR</w:t>
      </w:r>
    </w:p>
    <w:p>
      <w:pPr>
        <w:pStyle w:val="75"/>
        <w:keepNext w:val="0"/>
        <w:keepLines w:val="0"/>
        <w:pageBreakBefore w:val="0"/>
        <w:widowControl/>
        <w:numPr>
          <w:ilvl w:val="1"/>
          <w:numId w:val="6"/>
        </w:numPr>
        <w:kinsoku/>
        <w:wordWrap/>
        <w:overflowPunct/>
        <w:topLinePunct w:val="0"/>
        <w:autoSpaceDE/>
        <w:autoSpaceDN/>
        <w:bidi w:val="0"/>
        <w:adjustRightInd/>
        <w:snapToGrid/>
        <w:ind w:left="1100" w:leftChars="0" w:hanging="363" w:firstLineChars="0"/>
        <w:textAlignment w:val="auto"/>
        <w:rPr>
          <w:rFonts w:hint="eastAsia"/>
          <w:i/>
          <w:iCs/>
          <w:sz w:val="20"/>
          <w:szCs w:val="20"/>
          <w:lang w:val="zh-CN" w:eastAsia="ja-JP"/>
        </w:rPr>
      </w:pPr>
      <w:r>
        <w:rPr>
          <w:rFonts w:hint="eastAsia"/>
          <w:i/>
          <w:iCs/>
          <w:sz w:val="20"/>
          <w:szCs w:val="20"/>
          <w:lang w:val="zh-CN" w:eastAsia="ja-JP"/>
        </w:rPr>
        <w:t>Note: Anything not compliant with RAN2 spec, if identified, will be removed.</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T∆: Same as the existing requirements</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lang w:eastAsia="ja-JP"/>
        </w:rPr>
      </w:pPr>
      <w:r>
        <w:rPr>
          <w:rFonts w:hint="eastAsia"/>
          <w:i/>
          <w:iCs/>
          <w:sz w:val="20"/>
          <w:szCs w:val="20"/>
          <w:lang w:eastAsia="ja-JP"/>
        </w:rPr>
        <w:t>Tmargin: Same as the existing requirements</w:t>
      </w:r>
    </w:p>
    <w:p>
      <w:pPr>
        <w:pStyle w:val="75"/>
        <w:keepNext w:val="0"/>
        <w:keepLines w:val="0"/>
        <w:pageBreakBefore w:val="0"/>
        <w:widowControl/>
        <w:numPr>
          <w:ilvl w:val="0"/>
          <w:numId w:val="6"/>
        </w:numPr>
        <w:kinsoku/>
        <w:wordWrap/>
        <w:overflowPunct/>
        <w:topLinePunct w:val="0"/>
        <w:autoSpaceDE/>
        <w:autoSpaceDN/>
        <w:bidi w:val="0"/>
        <w:adjustRightInd/>
        <w:snapToGrid/>
        <w:ind w:left="400" w:hanging="400" w:hangingChars="200"/>
        <w:textAlignment w:val="auto"/>
        <w:rPr>
          <w:rFonts w:hint="eastAsia"/>
          <w:i/>
          <w:iCs/>
          <w:sz w:val="20"/>
          <w:szCs w:val="20"/>
          <w:highlight w:val="yellow"/>
          <w:lang w:eastAsia="ja-JP"/>
        </w:rPr>
      </w:pPr>
      <w:r>
        <w:rPr>
          <w:rFonts w:hint="eastAsia"/>
          <w:i/>
          <w:iCs/>
          <w:sz w:val="20"/>
          <w:szCs w:val="20"/>
          <w:highlight w:val="yellow"/>
          <w:lang w:eastAsia="zh-CN"/>
        </w:rPr>
        <w:t>Further discuss whether UE is allowed to skip or deprioritize measurements on the serving cell and neighbor cells from T-Start in maintenance phase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sz w:val="20"/>
          <w:szCs w:val="20"/>
          <w:lang w:val="en-US" w:eastAsia="zh-CN"/>
        </w:rPr>
      </w:pPr>
      <w:r>
        <w:rPr>
          <w:rFonts w:hint="eastAsia"/>
          <w:sz w:val="20"/>
          <w:szCs w:val="20"/>
          <w:lang w:val="en-US" w:eastAsia="zh-CN"/>
        </w:rPr>
        <w:t>In our view, the scenario of soft satellite switch is quite similar as legacy handover, which the network will configure the target cell to UE. It is reasonable to skip/deprioritize the measurement for neighbor cells and serving cell from T-start.</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 UE is allowed to skip or deprioritize measurements on the serving cell and neighbour cells from T-start.</w:t>
      </w:r>
    </w:p>
    <w:bookmarkEnd w:id="5"/>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 xml:space="preserve">Observation 1: For the UE not supporting </w:t>
      </w:r>
      <w:r>
        <w:rPr>
          <w:rFonts w:hint="default"/>
          <w:b/>
          <w:bCs/>
          <w:i/>
          <w:iCs/>
          <w:sz w:val="20"/>
          <w:szCs w:val="20"/>
          <w:lang w:val="en-US" w:eastAsia="zh-CN"/>
        </w:rPr>
        <w:t>‘‘serviceLinkPropDelayDiffReporting-r17’</w:t>
      </w:r>
      <w:r>
        <w:rPr>
          <w:rFonts w:hint="eastAsia"/>
          <w:b/>
          <w:bCs/>
          <w:i/>
          <w:iCs/>
          <w:sz w:val="20"/>
          <w:szCs w:val="20"/>
          <w:lang w:val="en-US" w:eastAsia="zh-CN"/>
        </w:rPr>
        <w:t>, the duration of scheduling restriction depends on the maximum propagation delay difference between source cell and target cell, which further depends on the practical network scenario.</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Observation 2: For the UE supporting </w:t>
      </w:r>
      <w:r>
        <w:rPr>
          <w:rFonts w:hint="default"/>
          <w:b/>
          <w:bCs/>
          <w:i/>
          <w:iCs/>
          <w:sz w:val="20"/>
          <w:szCs w:val="20"/>
          <w:lang w:val="en-US" w:eastAsia="zh-CN"/>
        </w:rPr>
        <w:t>‘serviceLinkPropDelayDiffReporting-r17’</w:t>
      </w:r>
      <w:r>
        <w:rPr>
          <w:rFonts w:hint="eastAsia"/>
          <w:b/>
          <w:bCs/>
          <w:i/>
          <w:iCs/>
          <w:sz w:val="20"/>
          <w:szCs w:val="20"/>
          <w:lang w:val="en-US" w:eastAsia="zh-CN"/>
        </w:rPr>
        <w:t>, the duration of scheduling restriction can be minimized to target cell SSB symbols to be measured, and on 1 data symbol before each consecutive SSB symbols to be measured and 1 data symbol after each consecutive SSB symbols to be measured within SMTC window duration.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Observation 3: The </w:t>
      </w:r>
      <w:r>
        <w:rPr>
          <w:rFonts w:hint="default"/>
          <w:b/>
          <w:bCs/>
          <w:i/>
          <w:iCs/>
          <w:sz w:val="20"/>
          <w:szCs w:val="20"/>
          <w:lang w:val="en-US" w:eastAsia="zh-CN"/>
        </w:rPr>
        <w:t>service</w:t>
      </w:r>
      <w:r>
        <w:rPr>
          <w:rFonts w:hint="eastAsia"/>
          <w:b/>
          <w:bCs/>
          <w:i/>
          <w:iCs/>
          <w:sz w:val="20"/>
          <w:szCs w:val="20"/>
          <w:lang w:val="en-US" w:eastAsia="zh-CN"/>
        </w:rPr>
        <w:t xml:space="preserve"> l</w:t>
      </w:r>
      <w:r>
        <w:rPr>
          <w:rFonts w:hint="default"/>
          <w:b/>
          <w:bCs/>
          <w:i/>
          <w:iCs/>
          <w:sz w:val="20"/>
          <w:szCs w:val="20"/>
          <w:lang w:val="en-US" w:eastAsia="zh-CN"/>
        </w:rPr>
        <w:t>ink</w:t>
      </w:r>
      <w:r>
        <w:rPr>
          <w:rFonts w:hint="eastAsia"/>
          <w:b/>
          <w:bCs/>
          <w:i/>
          <w:iCs/>
          <w:sz w:val="20"/>
          <w:szCs w:val="20"/>
          <w:lang w:val="en-US" w:eastAsia="zh-CN"/>
        </w:rPr>
        <w:t xml:space="preserve"> </w:t>
      </w:r>
      <w:r>
        <w:rPr>
          <w:rFonts w:hint="default"/>
          <w:b/>
          <w:bCs/>
          <w:i/>
          <w:iCs/>
          <w:sz w:val="20"/>
          <w:szCs w:val="20"/>
          <w:lang w:val="en-US" w:eastAsia="zh-CN"/>
        </w:rPr>
        <w:t>Prop</w:t>
      </w:r>
      <w:r>
        <w:rPr>
          <w:rFonts w:hint="eastAsia"/>
          <w:b/>
          <w:bCs/>
          <w:i/>
          <w:iCs/>
          <w:sz w:val="20"/>
          <w:szCs w:val="20"/>
          <w:lang w:val="en-US" w:eastAsia="zh-CN"/>
        </w:rPr>
        <w:t xml:space="preserve">agation </w:t>
      </w:r>
      <w:r>
        <w:rPr>
          <w:rFonts w:hint="default"/>
          <w:b/>
          <w:bCs/>
          <w:i/>
          <w:iCs/>
          <w:sz w:val="20"/>
          <w:szCs w:val="20"/>
          <w:lang w:val="en-US" w:eastAsia="zh-CN"/>
        </w:rPr>
        <w:t>Delay</w:t>
      </w:r>
      <w:r>
        <w:rPr>
          <w:rFonts w:hint="eastAsia"/>
          <w:b/>
          <w:bCs/>
          <w:i/>
          <w:iCs/>
          <w:sz w:val="20"/>
          <w:szCs w:val="20"/>
          <w:lang w:val="en-US" w:eastAsia="zh-CN"/>
        </w:rPr>
        <w:t xml:space="preserve"> </w:t>
      </w:r>
      <w:r>
        <w:rPr>
          <w:rFonts w:hint="default"/>
          <w:b/>
          <w:bCs/>
          <w:i/>
          <w:iCs/>
          <w:sz w:val="20"/>
          <w:szCs w:val="20"/>
          <w:lang w:val="en-US" w:eastAsia="zh-CN"/>
        </w:rPr>
        <w:t>Diff</w:t>
      </w:r>
      <w:r>
        <w:rPr>
          <w:rFonts w:hint="eastAsia"/>
          <w:b/>
          <w:bCs/>
          <w:i/>
          <w:iCs/>
          <w:sz w:val="20"/>
          <w:szCs w:val="20"/>
          <w:lang w:val="en-US" w:eastAsia="zh-CN"/>
        </w:rPr>
        <w:t xml:space="preserve">erence </w:t>
      </w:r>
      <w:r>
        <w:rPr>
          <w:rFonts w:hint="default"/>
          <w:b/>
          <w:bCs/>
          <w:i/>
          <w:iCs/>
          <w:sz w:val="20"/>
          <w:szCs w:val="20"/>
          <w:lang w:val="en-US" w:eastAsia="zh-CN"/>
        </w:rPr>
        <w:t>Reporting</w:t>
      </w:r>
      <w:r>
        <w:rPr>
          <w:rFonts w:hint="eastAsia"/>
          <w:b/>
          <w:bCs/>
          <w:i/>
          <w:iCs/>
          <w:sz w:val="20"/>
          <w:szCs w:val="20"/>
          <w:lang w:val="en-US" w:eastAsia="zh-CN"/>
        </w:rPr>
        <w:t xml:space="preserve"> procedure has been introduced in R17, which can be reused in PCI unchanged scenario as well.</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The solutions of alleviating the scheduling restriction has been supported by existing spec.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Proposal 2: UE is allowed to skip or deprioritize measurements on the serving cell and neighbour cells from T-start.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sz w:val="20"/>
          <w:szCs w:val="20"/>
          <w:lang w:val="en-GB"/>
        </w:rPr>
      </w:pPr>
      <w:r>
        <w:rPr>
          <w:rFonts w:hint="eastAsia"/>
          <w:sz w:val="20"/>
          <w:szCs w:val="20"/>
          <w:lang w:val="en-US" w:eastAsia="zh-CN"/>
        </w:rPr>
        <w:t xml:space="preserve">R4-2403492, WF on RRM requirements for NR_NTN_enh, </w:t>
      </w:r>
      <w:r>
        <w:rPr>
          <w:rFonts w:hint="eastAsia"/>
          <w:sz w:val="20"/>
          <w:szCs w:val="20"/>
          <w:lang w:val="en-GB"/>
        </w:rPr>
        <w:t>Qual</w:t>
      </w:r>
      <w:r>
        <w:rPr>
          <w:sz w:val="20"/>
          <w:szCs w:val="20"/>
          <w:lang w:val="en-GB"/>
        </w:rPr>
        <w:t>comm Incorporated.</w:t>
      </w:r>
    </w:p>
    <w:p>
      <w:pPr>
        <w:rPr>
          <w:sz w:val="20"/>
          <w:szCs w:val="20"/>
          <w:lang w:val="en-GB"/>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2429BD"/>
    <w:multiLevelType w:val="singleLevel"/>
    <w:tmpl w:val="982429BD"/>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4"/>
  </w:num>
  <w:num w:numId="3">
    <w:abstractNumId w:val="2"/>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57185C"/>
    <w:rsid w:val="02BB15E8"/>
    <w:rsid w:val="032875BA"/>
    <w:rsid w:val="04027B7C"/>
    <w:rsid w:val="04270E0A"/>
    <w:rsid w:val="04F14AC0"/>
    <w:rsid w:val="05E842A2"/>
    <w:rsid w:val="061C4A75"/>
    <w:rsid w:val="06830D33"/>
    <w:rsid w:val="07B91BA9"/>
    <w:rsid w:val="09301679"/>
    <w:rsid w:val="098E414D"/>
    <w:rsid w:val="0A2F10B0"/>
    <w:rsid w:val="0A314183"/>
    <w:rsid w:val="0A512B65"/>
    <w:rsid w:val="0B4D1804"/>
    <w:rsid w:val="0BC169A8"/>
    <w:rsid w:val="0BFD3FEE"/>
    <w:rsid w:val="0BFE43A0"/>
    <w:rsid w:val="0C34713B"/>
    <w:rsid w:val="0D11391B"/>
    <w:rsid w:val="0D6D742F"/>
    <w:rsid w:val="0E1E058B"/>
    <w:rsid w:val="0E6C3CB3"/>
    <w:rsid w:val="0E723D6F"/>
    <w:rsid w:val="0EA0635C"/>
    <w:rsid w:val="0EB73522"/>
    <w:rsid w:val="0EC601AB"/>
    <w:rsid w:val="10FD15E1"/>
    <w:rsid w:val="11410433"/>
    <w:rsid w:val="11502A3C"/>
    <w:rsid w:val="116206E1"/>
    <w:rsid w:val="11E74B6B"/>
    <w:rsid w:val="135D091C"/>
    <w:rsid w:val="144E60BA"/>
    <w:rsid w:val="14704788"/>
    <w:rsid w:val="155A08C9"/>
    <w:rsid w:val="17F40229"/>
    <w:rsid w:val="19166C11"/>
    <w:rsid w:val="19684D1A"/>
    <w:rsid w:val="199268D2"/>
    <w:rsid w:val="19AE4C3C"/>
    <w:rsid w:val="1A337C08"/>
    <w:rsid w:val="1B08792E"/>
    <w:rsid w:val="1C045BB5"/>
    <w:rsid w:val="1D482986"/>
    <w:rsid w:val="1D530466"/>
    <w:rsid w:val="20741BCD"/>
    <w:rsid w:val="21E6327B"/>
    <w:rsid w:val="226278E6"/>
    <w:rsid w:val="22CD4739"/>
    <w:rsid w:val="22DF4B25"/>
    <w:rsid w:val="23F24A71"/>
    <w:rsid w:val="2453420A"/>
    <w:rsid w:val="25B0630F"/>
    <w:rsid w:val="264F651F"/>
    <w:rsid w:val="26AB5CAA"/>
    <w:rsid w:val="270343AF"/>
    <w:rsid w:val="275238E8"/>
    <w:rsid w:val="27885E9A"/>
    <w:rsid w:val="27A9199E"/>
    <w:rsid w:val="27C37418"/>
    <w:rsid w:val="27E70AD2"/>
    <w:rsid w:val="282B4205"/>
    <w:rsid w:val="28340C68"/>
    <w:rsid w:val="28E63708"/>
    <w:rsid w:val="2903193C"/>
    <w:rsid w:val="293A0182"/>
    <w:rsid w:val="29F41202"/>
    <w:rsid w:val="2A1C7136"/>
    <w:rsid w:val="2A52567F"/>
    <w:rsid w:val="2CCE420F"/>
    <w:rsid w:val="2D3C0CBF"/>
    <w:rsid w:val="2D480610"/>
    <w:rsid w:val="2E177608"/>
    <w:rsid w:val="2E285745"/>
    <w:rsid w:val="2E954754"/>
    <w:rsid w:val="2EBB7CD6"/>
    <w:rsid w:val="2ECD6A4D"/>
    <w:rsid w:val="2F1F43E1"/>
    <w:rsid w:val="2FF748E5"/>
    <w:rsid w:val="302A3B16"/>
    <w:rsid w:val="30B631AE"/>
    <w:rsid w:val="311C418B"/>
    <w:rsid w:val="312A6EA1"/>
    <w:rsid w:val="33106379"/>
    <w:rsid w:val="33417212"/>
    <w:rsid w:val="339A6C60"/>
    <w:rsid w:val="33A629ED"/>
    <w:rsid w:val="33C33478"/>
    <w:rsid w:val="33E2308C"/>
    <w:rsid w:val="33FF585B"/>
    <w:rsid w:val="34C969B6"/>
    <w:rsid w:val="35CB3800"/>
    <w:rsid w:val="36267311"/>
    <w:rsid w:val="36ED2DC2"/>
    <w:rsid w:val="3B1D4D3A"/>
    <w:rsid w:val="3B1E11F2"/>
    <w:rsid w:val="3B3261DC"/>
    <w:rsid w:val="3BCD3BF3"/>
    <w:rsid w:val="3C1C2A58"/>
    <w:rsid w:val="3C3F629C"/>
    <w:rsid w:val="3D2E150D"/>
    <w:rsid w:val="3D774C98"/>
    <w:rsid w:val="3DD26E51"/>
    <w:rsid w:val="3FFA159D"/>
    <w:rsid w:val="4028093E"/>
    <w:rsid w:val="40A203D0"/>
    <w:rsid w:val="41021CB6"/>
    <w:rsid w:val="42714C57"/>
    <w:rsid w:val="428C04CB"/>
    <w:rsid w:val="438A330C"/>
    <w:rsid w:val="43D2693C"/>
    <w:rsid w:val="44694FB6"/>
    <w:rsid w:val="44D416C8"/>
    <w:rsid w:val="44F042A4"/>
    <w:rsid w:val="45004955"/>
    <w:rsid w:val="45104F09"/>
    <w:rsid w:val="4568626D"/>
    <w:rsid w:val="468D0F58"/>
    <w:rsid w:val="47382E8E"/>
    <w:rsid w:val="47BD2EBF"/>
    <w:rsid w:val="483C7010"/>
    <w:rsid w:val="48827744"/>
    <w:rsid w:val="489F04CD"/>
    <w:rsid w:val="48FF5BC4"/>
    <w:rsid w:val="4909275C"/>
    <w:rsid w:val="496B0DFD"/>
    <w:rsid w:val="499C7F1A"/>
    <w:rsid w:val="4A4107F5"/>
    <w:rsid w:val="4AB334E0"/>
    <w:rsid w:val="4AC54120"/>
    <w:rsid w:val="4AE14CE5"/>
    <w:rsid w:val="4B820C21"/>
    <w:rsid w:val="4C740FBB"/>
    <w:rsid w:val="4CB32D3F"/>
    <w:rsid w:val="4D2C3744"/>
    <w:rsid w:val="4DF73079"/>
    <w:rsid w:val="4E222F58"/>
    <w:rsid w:val="4E63642D"/>
    <w:rsid w:val="4E734BC1"/>
    <w:rsid w:val="4EEE3525"/>
    <w:rsid w:val="4F4A5D3D"/>
    <w:rsid w:val="4FBE626D"/>
    <w:rsid w:val="50047D3F"/>
    <w:rsid w:val="50803E7A"/>
    <w:rsid w:val="50FC4159"/>
    <w:rsid w:val="52387E00"/>
    <w:rsid w:val="52657DC0"/>
    <w:rsid w:val="52A02608"/>
    <w:rsid w:val="53046661"/>
    <w:rsid w:val="53F344DD"/>
    <w:rsid w:val="54141C5F"/>
    <w:rsid w:val="5415308F"/>
    <w:rsid w:val="559303C8"/>
    <w:rsid w:val="56D805CB"/>
    <w:rsid w:val="585C7AD6"/>
    <w:rsid w:val="587E7112"/>
    <w:rsid w:val="58B90AAC"/>
    <w:rsid w:val="58D33E46"/>
    <w:rsid w:val="59804317"/>
    <w:rsid w:val="5A3916BC"/>
    <w:rsid w:val="5A5554D1"/>
    <w:rsid w:val="5ACB668C"/>
    <w:rsid w:val="5AD564E3"/>
    <w:rsid w:val="5B9A48FE"/>
    <w:rsid w:val="5BE54260"/>
    <w:rsid w:val="5C03165A"/>
    <w:rsid w:val="5DE26877"/>
    <w:rsid w:val="5E0314D0"/>
    <w:rsid w:val="5EA54D66"/>
    <w:rsid w:val="5FAE3C1E"/>
    <w:rsid w:val="60176AA1"/>
    <w:rsid w:val="601C52A9"/>
    <w:rsid w:val="603B3B74"/>
    <w:rsid w:val="61AF27D1"/>
    <w:rsid w:val="61FE73B1"/>
    <w:rsid w:val="621D6C97"/>
    <w:rsid w:val="629C6F02"/>
    <w:rsid w:val="636D6759"/>
    <w:rsid w:val="646D5888"/>
    <w:rsid w:val="649B770A"/>
    <w:rsid w:val="666B0042"/>
    <w:rsid w:val="6695767F"/>
    <w:rsid w:val="669A6BCA"/>
    <w:rsid w:val="674E1284"/>
    <w:rsid w:val="67791B52"/>
    <w:rsid w:val="67B02672"/>
    <w:rsid w:val="67F34F90"/>
    <w:rsid w:val="67FA6925"/>
    <w:rsid w:val="68F9738C"/>
    <w:rsid w:val="690A41ED"/>
    <w:rsid w:val="6950210B"/>
    <w:rsid w:val="69B84930"/>
    <w:rsid w:val="6AA1751A"/>
    <w:rsid w:val="6B3773F6"/>
    <w:rsid w:val="6E7D749A"/>
    <w:rsid w:val="6FD518E1"/>
    <w:rsid w:val="709A16D4"/>
    <w:rsid w:val="70B558FD"/>
    <w:rsid w:val="7191735E"/>
    <w:rsid w:val="738E763D"/>
    <w:rsid w:val="74521C25"/>
    <w:rsid w:val="74BC07DB"/>
    <w:rsid w:val="7530247A"/>
    <w:rsid w:val="76871284"/>
    <w:rsid w:val="769367A2"/>
    <w:rsid w:val="77DC6BAC"/>
    <w:rsid w:val="77EB1A53"/>
    <w:rsid w:val="78833509"/>
    <w:rsid w:val="78DE7EBE"/>
    <w:rsid w:val="79497FA2"/>
    <w:rsid w:val="799A470F"/>
    <w:rsid w:val="7A8B7C93"/>
    <w:rsid w:val="7B0E64C9"/>
    <w:rsid w:val="7B3426D8"/>
    <w:rsid w:val="7CF466CF"/>
    <w:rsid w:val="7F2D7455"/>
    <w:rsid w:val="7F5877E7"/>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4"/>
    <w:next w:val="1"/>
    <w:link w:val="39"/>
    <w:qFormat/>
    <w:uiPriority w:val="0"/>
    <w:pPr>
      <w:tabs>
        <w:tab w:val="left" w:pos="864"/>
        <w:tab w:val="clear" w:pos="720"/>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5</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2024-04-08T10:17:53Z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